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90" w:rsidRPr="00F94105" w:rsidRDefault="00E55490" w:rsidP="00F94105">
      <w:pPr>
        <w:spacing w:after="0" w:line="240" w:lineRule="auto"/>
        <w:ind w:firstLine="709"/>
        <w:jc w:val="center"/>
        <w:outlineLvl w:val="1"/>
        <w:rPr>
          <w:rFonts w:ascii="Times New Roman" w:eastAsia="Times New Roman" w:hAnsi="Times New Roman" w:cs="Times New Roman"/>
          <w:b/>
          <w:caps/>
          <w:color w:val="548DD4" w:themeColor="text2" w:themeTint="99"/>
          <w:sz w:val="24"/>
          <w:szCs w:val="24"/>
        </w:rPr>
      </w:pPr>
      <w:r w:rsidRPr="00F94105">
        <w:rPr>
          <w:rFonts w:ascii="Times New Roman" w:eastAsia="Times New Roman" w:hAnsi="Times New Roman" w:cs="Times New Roman"/>
          <w:b/>
          <w:caps/>
          <w:color w:val="548DD4" w:themeColor="text2" w:themeTint="99"/>
          <w:sz w:val="24"/>
          <w:szCs w:val="24"/>
        </w:rPr>
        <w:t>ТРЕБОВАНИЯ К МЕСТАМ УСТАНОВКИ ПРИБОРОВ УЧЕТА, СХЕМАМ ПОДКЛЮЧЕНИЯ И МЕТРОЛОГИЧЕСКИМ ХАРАКТЕРИСТИКАМ ПРИБОРОВ УЧЕТА</w:t>
      </w:r>
    </w:p>
    <w:p w:rsidR="00F94105" w:rsidRPr="00A811D4" w:rsidRDefault="00F94105"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w:t>
      </w:r>
      <w:proofErr w:type="spellStart"/>
      <w:r w:rsidRPr="00A811D4">
        <w:rPr>
          <w:rFonts w:ascii="Times New Roman" w:hAnsi="Times New Roman" w:cs="Times New Roman"/>
          <w:sz w:val="24"/>
          <w:szCs w:val="24"/>
        </w:rPr>
        <w:t>электросетевого</w:t>
      </w:r>
      <w:proofErr w:type="spellEnd"/>
      <w:r w:rsidRPr="00A811D4">
        <w:rPr>
          <w:rFonts w:ascii="Times New Roman" w:hAnsi="Times New Roman" w:cs="Times New Roman"/>
          <w:sz w:val="24"/>
          <w:szCs w:val="24"/>
        </w:rPr>
        <w:t xml:space="preserve">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4" w:history="1">
        <w:r w:rsidRPr="00A811D4">
          <w:rPr>
            <w:rFonts w:ascii="Times New Roman" w:hAnsi="Times New Roman" w:cs="Times New Roman"/>
            <w:color w:val="000000" w:themeColor="text1"/>
            <w:sz w:val="24"/>
            <w:szCs w:val="24"/>
          </w:rPr>
          <w:t>постановления</w:t>
        </w:r>
      </w:hyperlink>
      <w:r w:rsidRPr="00A811D4">
        <w:rPr>
          <w:rFonts w:ascii="Times New Roman" w:hAnsi="Times New Roman" w:cs="Times New Roman"/>
          <w:sz w:val="24"/>
          <w:szCs w:val="24"/>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w:t>
      </w:r>
      <w:r w:rsidR="00A811D4" w:rsidRPr="00A811D4">
        <w:rPr>
          <w:rFonts w:ascii="Times New Roman" w:hAnsi="Times New Roman" w:cs="Times New Roman"/>
          <w:sz w:val="24"/>
          <w:szCs w:val="24"/>
        </w:rPr>
        <w:t>Основными положениями функционирования розничных рынков электрической энергии, утвержденными постановлением Правительства РФ от 04.05.2012г. №442 (далее - Основные положения)</w:t>
      </w:r>
      <w:r w:rsidRPr="00A811D4">
        <w:rPr>
          <w:rFonts w:ascii="Times New Roman" w:hAnsi="Times New Roman" w:cs="Times New Roman"/>
          <w:sz w:val="24"/>
          <w:szCs w:val="24"/>
        </w:rPr>
        <w:t>,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F94105" w:rsidRPr="00A811D4" w:rsidRDefault="00F94105"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5" w:history="1">
        <w:r w:rsidR="00A811D4" w:rsidRPr="00A811D4">
          <w:rPr>
            <w:rFonts w:ascii="Times New Roman" w:hAnsi="Times New Roman" w:cs="Times New Roman"/>
            <w:color w:val="000000" w:themeColor="text1"/>
            <w:sz w:val="24"/>
            <w:szCs w:val="24"/>
          </w:rPr>
          <w:t>Правилами</w:t>
        </w:r>
      </w:hyperlink>
      <w:r w:rsidRPr="00A811D4">
        <w:rPr>
          <w:rFonts w:ascii="Times New Roman" w:hAnsi="Times New Roman" w:cs="Times New Roman"/>
          <w:sz w:val="24"/>
          <w:szCs w:val="24"/>
        </w:rPr>
        <w:t xml:space="preserve"> предоставления доступа к минимальному набору функций интеллектуальных систем учета электрической энергии (мощности) с учетом установленных </w:t>
      </w:r>
      <w:hyperlink w:anchor="Par1493" w:tooltip="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пункте 137 настоящего документа, испол..." w:history="1">
        <w:r w:rsidRPr="00A811D4">
          <w:rPr>
            <w:rFonts w:ascii="Times New Roman" w:hAnsi="Times New Roman" w:cs="Times New Roman"/>
            <w:color w:val="000000" w:themeColor="text1"/>
            <w:sz w:val="24"/>
            <w:szCs w:val="24"/>
          </w:rPr>
          <w:t>пунктом 150</w:t>
        </w:r>
      </w:hyperlink>
      <w:r w:rsidRPr="00A811D4">
        <w:rPr>
          <w:rFonts w:ascii="Times New Roman" w:hAnsi="Times New Roman" w:cs="Times New Roman"/>
          <w:sz w:val="24"/>
          <w:szCs w:val="24"/>
        </w:rPr>
        <w:t xml:space="preserve"> </w:t>
      </w:r>
      <w:r w:rsidR="00A811D4" w:rsidRPr="00A811D4">
        <w:rPr>
          <w:rFonts w:ascii="Times New Roman" w:hAnsi="Times New Roman" w:cs="Times New Roman"/>
          <w:sz w:val="24"/>
          <w:szCs w:val="24"/>
        </w:rPr>
        <w:t xml:space="preserve">Основных положений </w:t>
      </w:r>
      <w:r w:rsidRPr="00A811D4">
        <w:rPr>
          <w:rFonts w:ascii="Times New Roman" w:hAnsi="Times New Roman" w:cs="Times New Roman"/>
          <w:sz w:val="24"/>
          <w:szCs w:val="24"/>
        </w:rPr>
        <w:t>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F94105" w:rsidRPr="00A811D4" w:rsidRDefault="00F94105"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F94105" w:rsidRPr="00A811D4" w:rsidRDefault="00F94105"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F94105" w:rsidRPr="00A811D4" w:rsidRDefault="00F94105"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6" w:history="1">
        <w:r w:rsidR="00A811D4" w:rsidRPr="00A811D4">
          <w:rPr>
            <w:rFonts w:ascii="Times New Roman" w:hAnsi="Times New Roman" w:cs="Times New Roman"/>
            <w:color w:val="000000" w:themeColor="text1"/>
            <w:sz w:val="24"/>
            <w:szCs w:val="24"/>
          </w:rPr>
          <w:t>Правил</w:t>
        </w:r>
      </w:hyperlink>
      <w:r w:rsidRPr="00A811D4">
        <w:rPr>
          <w:rFonts w:ascii="Times New Roman" w:hAnsi="Times New Roman" w:cs="Times New Roman"/>
          <w:sz w:val="24"/>
          <w:szCs w:val="24"/>
        </w:rP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F94105" w:rsidRPr="00A811D4" w:rsidRDefault="00F94105"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A811D4" w:rsidRPr="00A811D4" w:rsidRDefault="00A811D4" w:rsidP="00A811D4">
      <w:pPr>
        <w:pStyle w:val="a6"/>
        <w:ind w:firstLine="567"/>
        <w:jc w:val="both"/>
        <w:rPr>
          <w:rFonts w:ascii="Times New Roman" w:hAnsi="Times New Roman" w:cs="Times New Roman"/>
          <w:sz w:val="24"/>
          <w:szCs w:val="24"/>
        </w:rPr>
      </w:pPr>
      <w:bookmarkStart w:id="0" w:name="Par1454"/>
      <w:bookmarkEnd w:id="0"/>
      <w:r w:rsidRPr="00A811D4">
        <w:rPr>
          <w:rFonts w:ascii="Times New Roman" w:hAnsi="Times New Roman" w:cs="Times New Roman"/>
          <w:sz w:val="24"/>
          <w:szCs w:val="24"/>
        </w:rP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ar1396" w:tooltip="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 w:history="1">
        <w:r w:rsidRPr="00A811D4">
          <w:rPr>
            <w:rFonts w:ascii="Times New Roman" w:hAnsi="Times New Roman" w:cs="Times New Roman"/>
            <w:color w:val="000000" w:themeColor="text1"/>
            <w:sz w:val="24"/>
            <w:szCs w:val="24"/>
          </w:rPr>
          <w:t>пункте 136</w:t>
        </w:r>
      </w:hyperlink>
      <w:r w:rsidRPr="00A811D4">
        <w:rPr>
          <w:rFonts w:ascii="Times New Roman" w:hAnsi="Times New Roman" w:cs="Times New Roman"/>
          <w:sz w:val="24"/>
          <w:szCs w:val="24"/>
        </w:rPr>
        <w:t xml:space="preserve"> </w:t>
      </w:r>
      <w:r>
        <w:rPr>
          <w:rFonts w:ascii="Times New Roman" w:hAnsi="Times New Roman" w:cs="Times New Roman"/>
          <w:sz w:val="24"/>
          <w:szCs w:val="24"/>
        </w:rPr>
        <w:t>Основных положений</w:t>
      </w:r>
      <w:r w:rsidRPr="00A811D4">
        <w:rPr>
          <w:rFonts w:ascii="Times New Roman" w:hAnsi="Times New Roman" w:cs="Times New Roman"/>
          <w:sz w:val="24"/>
          <w:szCs w:val="24"/>
        </w:rPr>
        <w:t>. Такой прибор учета становится расчетным прибором учета с даты допуска его в эксплуатацию;</w:t>
      </w:r>
    </w:p>
    <w:p w:rsidR="00A811D4" w:rsidRPr="00A811D4" w:rsidRDefault="00A811D4" w:rsidP="00A811D4">
      <w:pPr>
        <w:pStyle w:val="a6"/>
        <w:ind w:firstLine="567"/>
        <w:jc w:val="both"/>
        <w:rPr>
          <w:rFonts w:ascii="Times New Roman" w:hAnsi="Times New Roman" w:cs="Times New Roman"/>
          <w:sz w:val="24"/>
          <w:szCs w:val="24"/>
        </w:rPr>
      </w:pPr>
      <w:bookmarkStart w:id="1" w:name="Par1455"/>
      <w:bookmarkEnd w:id="1"/>
      <w:r w:rsidRPr="00A811D4">
        <w:rPr>
          <w:rFonts w:ascii="Times New Roman" w:hAnsi="Times New Roman" w:cs="Times New Roman"/>
          <w:sz w:val="24"/>
          <w:szCs w:val="24"/>
        </w:rPr>
        <w:t xml:space="preserve">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w:t>
      </w:r>
      <w:r w:rsidRPr="00A811D4">
        <w:rPr>
          <w:rFonts w:ascii="Times New Roman" w:hAnsi="Times New Roman" w:cs="Times New Roman"/>
          <w:sz w:val="24"/>
          <w:szCs w:val="24"/>
        </w:rPr>
        <w:lastRenderedPageBreak/>
        <w:t>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811D4" w:rsidRPr="00A811D4" w:rsidRDefault="00A811D4" w:rsidP="00A811D4">
      <w:pPr>
        <w:pStyle w:val="a6"/>
        <w:ind w:firstLine="567"/>
        <w:jc w:val="both"/>
        <w:rPr>
          <w:rFonts w:ascii="Times New Roman" w:hAnsi="Times New Roman" w:cs="Times New Roman"/>
          <w:sz w:val="24"/>
          <w:szCs w:val="24"/>
        </w:rPr>
      </w:pPr>
      <w:bookmarkStart w:id="2" w:name="Par1456"/>
      <w:bookmarkEnd w:id="2"/>
      <w:r w:rsidRPr="00A811D4">
        <w:rPr>
          <w:rFonts w:ascii="Times New Roman" w:hAnsi="Times New Roman" w:cs="Times New Roman"/>
          <w:sz w:val="24"/>
          <w:szCs w:val="24"/>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при равенстве условий, указанных в </w:t>
      </w:r>
      <w:hyperlink w:anchor="Par1454" w:tooltip="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пункте 136 настоящего документа. Такой прибор учета становится расчетным прибором учета с даты допуска его в эксплуатацию;" w:history="1">
        <w:r w:rsidRPr="00A811D4">
          <w:rPr>
            <w:rFonts w:ascii="Times New Roman" w:hAnsi="Times New Roman" w:cs="Times New Roman"/>
            <w:color w:val="000000" w:themeColor="text1"/>
            <w:sz w:val="24"/>
            <w:szCs w:val="24"/>
          </w:rPr>
          <w:t>абзацах втором</w:t>
        </w:r>
      </w:hyperlink>
      <w:r w:rsidRPr="00A811D4">
        <w:rPr>
          <w:rFonts w:ascii="Times New Roman" w:hAnsi="Times New Roman" w:cs="Times New Roman"/>
          <w:color w:val="000000" w:themeColor="text1"/>
          <w:sz w:val="24"/>
          <w:szCs w:val="24"/>
        </w:rPr>
        <w:t xml:space="preserve"> и </w:t>
      </w:r>
      <w:hyperlink w:anchor="Par1455" w:tooltip="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w:history="1">
        <w:r w:rsidRPr="00A811D4">
          <w:rPr>
            <w:rFonts w:ascii="Times New Roman" w:hAnsi="Times New Roman" w:cs="Times New Roman"/>
            <w:color w:val="000000" w:themeColor="text1"/>
            <w:sz w:val="24"/>
            <w:szCs w:val="24"/>
          </w:rPr>
          <w:t>третьем</w:t>
        </w:r>
      </w:hyperlink>
      <w:r w:rsidRPr="00A811D4">
        <w:rPr>
          <w:rFonts w:ascii="Times New Roman" w:hAnsi="Times New Roman" w:cs="Times New Roman"/>
          <w:sz w:val="24"/>
          <w:szCs w:val="24"/>
        </w:rP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при равенстве условий, указанных </w:t>
      </w:r>
      <w:r w:rsidRPr="00A811D4">
        <w:rPr>
          <w:rFonts w:ascii="Times New Roman" w:hAnsi="Times New Roman" w:cs="Times New Roman"/>
          <w:color w:val="000000" w:themeColor="text1"/>
          <w:sz w:val="24"/>
          <w:szCs w:val="24"/>
        </w:rPr>
        <w:t xml:space="preserve">в </w:t>
      </w:r>
      <w:hyperlink w:anchor="Par1454" w:tooltip="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пункте 136 настоящего документа. Такой прибор учета становится расчетным прибором учета с даты допуска его в эксплуатацию;" w:history="1">
        <w:r w:rsidRPr="00A811D4">
          <w:rPr>
            <w:rFonts w:ascii="Times New Roman" w:hAnsi="Times New Roman" w:cs="Times New Roman"/>
            <w:color w:val="000000" w:themeColor="text1"/>
            <w:sz w:val="24"/>
            <w:szCs w:val="24"/>
          </w:rPr>
          <w:t>абзацах втором</w:t>
        </w:r>
      </w:hyperlink>
      <w:r w:rsidRPr="00A811D4">
        <w:rPr>
          <w:rFonts w:ascii="Times New Roman" w:hAnsi="Times New Roman" w:cs="Times New Roman"/>
          <w:color w:val="000000" w:themeColor="text1"/>
          <w:sz w:val="24"/>
          <w:szCs w:val="24"/>
        </w:rPr>
        <w:t xml:space="preserve"> - </w:t>
      </w:r>
      <w:hyperlink w:anchor="Par1456" w:tooltip="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 w:history="1">
        <w:r w:rsidRPr="00A811D4">
          <w:rPr>
            <w:rFonts w:ascii="Times New Roman" w:hAnsi="Times New Roman" w:cs="Times New Roman"/>
            <w:color w:val="000000" w:themeColor="text1"/>
            <w:sz w:val="24"/>
            <w:szCs w:val="24"/>
          </w:rPr>
          <w:t>четвертом</w:t>
        </w:r>
      </w:hyperlink>
      <w:r w:rsidRPr="00A811D4">
        <w:rPr>
          <w:rFonts w:ascii="Times New Roman" w:hAnsi="Times New Roman" w:cs="Times New Roman"/>
          <w:sz w:val="24"/>
          <w:szCs w:val="24"/>
        </w:rP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w:t>
      </w:r>
      <w:proofErr w:type="spellStart"/>
      <w:r w:rsidRPr="00A811D4">
        <w:rPr>
          <w:rFonts w:ascii="Times New Roman" w:hAnsi="Times New Roman" w:cs="Times New Roman"/>
          <w:sz w:val="24"/>
          <w:szCs w:val="24"/>
        </w:rPr>
        <w:t>электросетевого</w:t>
      </w:r>
      <w:proofErr w:type="spellEnd"/>
      <w:r w:rsidRPr="00A811D4">
        <w:rPr>
          <w:rFonts w:ascii="Times New Roman" w:hAnsi="Times New Roman" w:cs="Times New Roman"/>
          <w:sz w:val="24"/>
          <w:szCs w:val="24"/>
        </w:rPr>
        <w:t xml:space="preserve"> хозяйства, за которые осуществляются расчеты на розничном рынке.</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w:t>
      </w:r>
      <w:proofErr w:type="spellStart"/>
      <w:r w:rsidRPr="00A811D4">
        <w:rPr>
          <w:rFonts w:ascii="Times New Roman" w:hAnsi="Times New Roman" w:cs="Times New Roman"/>
          <w:sz w:val="24"/>
          <w:szCs w:val="24"/>
        </w:rPr>
        <w:t>перетоков</w:t>
      </w:r>
      <w:proofErr w:type="spellEnd"/>
      <w:r w:rsidRPr="00A811D4">
        <w:rPr>
          <w:rFonts w:ascii="Times New Roman" w:hAnsi="Times New Roman" w:cs="Times New Roman"/>
          <w:sz w:val="24"/>
          <w:szCs w:val="24"/>
        </w:rPr>
        <w:t xml:space="preserve"> электрической энергии по каждой точке поставки в границах балансовой принадлежности </w:t>
      </w:r>
      <w:proofErr w:type="spellStart"/>
      <w:r w:rsidRPr="00A811D4">
        <w:rPr>
          <w:rFonts w:ascii="Times New Roman" w:hAnsi="Times New Roman" w:cs="Times New Roman"/>
          <w:sz w:val="24"/>
          <w:szCs w:val="24"/>
        </w:rPr>
        <w:t>энергопринимающих</w:t>
      </w:r>
      <w:proofErr w:type="spellEnd"/>
      <w:r w:rsidRPr="00A811D4">
        <w:rPr>
          <w:rFonts w:ascii="Times New Roman" w:hAnsi="Times New Roman" w:cs="Times New Roman"/>
          <w:sz w:val="24"/>
          <w:szCs w:val="24"/>
        </w:rPr>
        <w:t xml:space="preserve">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A811D4" w:rsidRPr="00A811D4" w:rsidRDefault="00A811D4" w:rsidP="00A811D4">
      <w:pPr>
        <w:pStyle w:val="a6"/>
        <w:ind w:firstLine="567"/>
        <w:jc w:val="both"/>
        <w:rPr>
          <w:rFonts w:ascii="Times New Roman" w:hAnsi="Times New Roman" w:cs="Times New Roman"/>
          <w:sz w:val="24"/>
          <w:szCs w:val="24"/>
        </w:rPr>
      </w:pPr>
      <w:proofErr w:type="spellStart"/>
      <w:r w:rsidRPr="00A811D4">
        <w:rPr>
          <w:rFonts w:ascii="Times New Roman" w:hAnsi="Times New Roman" w:cs="Times New Roman"/>
          <w:sz w:val="24"/>
          <w:szCs w:val="24"/>
        </w:rPr>
        <w:t>Энергопринимающие</w:t>
      </w:r>
      <w:proofErr w:type="spellEnd"/>
      <w:r w:rsidRPr="00A811D4">
        <w:rPr>
          <w:rFonts w:ascii="Times New Roman" w:hAnsi="Times New Roman" w:cs="Times New Roman"/>
          <w:sz w:val="24"/>
          <w:szCs w:val="24"/>
        </w:rPr>
        <w:t xml:space="preserve">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Использование интегральных приборов учета допускается по точкам поставки на объектах </w:t>
      </w:r>
      <w:proofErr w:type="spellStart"/>
      <w:r w:rsidRPr="00A811D4">
        <w:rPr>
          <w:rFonts w:ascii="Times New Roman" w:hAnsi="Times New Roman" w:cs="Times New Roman"/>
          <w:sz w:val="24"/>
          <w:szCs w:val="24"/>
        </w:rPr>
        <w:t>электросетевого</w:t>
      </w:r>
      <w:proofErr w:type="spellEnd"/>
      <w:r w:rsidRPr="00A811D4">
        <w:rPr>
          <w:rFonts w:ascii="Times New Roman" w:hAnsi="Times New Roman" w:cs="Times New Roman"/>
          <w:sz w:val="24"/>
          <w:szCs w:val="24"/>
        </w:rPr>
        <w:t xml:space="preserve">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w:t>
      </w:r>
      <w:r w:rsidRPr="00A811D4">
        <w:rPr>
          <w:rFonts w:ascii="Times New Roman" w:hAnsi="Times New Roman" w:cs="Times New Roman"/>
          <w:sz w:val="24"/>
          <w:szCs w:val="24"/>
        </w:rPr>
        <w:lastRenderedPageBreak/>
        <w:t>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w:t>
      </w:r>
      <w:proofErr w:type="spellStart"/>
      <w:r w:rsidRPr="00A811D4">
        <w:rPr>
          <w:rFonts w:ascii="Times New Roman" w:hAnsi="Times New Roman" w:cs="Times New Roman"/>
          <w:sz w:val="24"/>
          <w:szCs w:val="24"/>
        </w:rPr>
        <w:t>энергопринимающих</w:t>
      </w:r>
      <w:proofErr w:type="spellEnd"/>
      <w:r w:rsidRPr="00A811D4">
        <w:rPr>
          <w:rFonts w:ascii="Times New Roman" w:hAnsi="Times New Roman" w:cs="Times New Roman"/>
          <w:sz w:val="24"/>
          <w:szCs w:val="24"/>
        </w:rPr>
        <w:t xml:space="preserve">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w:t>
      </w:r>
      <w:proofErr w:type="spellStart"/>
      <w:r w:rsidRPr="00A811D4">
        <w:rPr>
          <w:rFonts w:ascii="Times New Roman" w:hAnsi="Times New Roman" w:cs="Times New Roman"/>
          <w:sz w:val="24"/>
          <w:szCs w:val="24"/>
        </w:rPr>
        <w:t>энергопринимающих</w:t>
      </w:r>
      <w:proofErr w:type="spellEnd"/>
      <w:r w:rsidRPr="00A811D4">
        <w:rPr>
          <w:rFonts w:ascii="Times New Roman" w:hAnsi="Times New Roman" w:cs="Times New Roman"/>
          <w:sz w:val="24"/>
          <w:szCs w:val="24"/>
        </w:rPr>
        <w:t xml:space="preserve">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При этом в случае если к </w:t>
      </w:r>
      <w:proofErr w:type="spellStart"/>
      <w:r w:rsidRPr="00A811D4">
        <w:rPr>
          <w:rFonts w:ascii="Times New Roman" w:hAnsi="Times New Roman" w:cs="Times New Roman"/>
          <w:sz w:val="24"/>
          <w:szCs w:val="24"/>
        </w:rPr>
        <w:t>энергопринимающим</w:t>
      </w:r>
      <w:proofErr w:type="spellEnd"/>
      <w:r w:rsidRPr="00A811D4">
        <w:rPr>
          <w:rFonts w:ascii="Times New Roman" w:hAnsi="Times New Roman" w:cs="Times New Roman"/>
          <w:sz w:val="24"/>
          <w:szCs w:val="24"/>
        </w:rPr>
        <w:t xml:space="preserve"> устройствам указанного потребителя технологически присоединены </w:t>
      </w:r>
      <w:proofErr w:type="spellStart"/>
      <w:r w:rsidRPr="00A811D4">
        <w:rPr>
          <w:rFonts w:ascii="Times New Roman" w:hAnsi="Times New Roman" w:cs="Times New Roman"/>
          <w:sz w:val="24"/>
          <w:szCs w:val="24"/>
        </w:rPr>
        <w:t>энергопринимающие</w:t>
      </w:r>
      <w:proofErr w:type="spellEnd"/>
      <w:r w:rsidRPr="00A811D4">
        <w:rPr>
          <w:rFonts w:ascii="Times New Roman" w:hAnsi="Times New Roman" w:cs="Times New Roman"/>
          <w:sz w:val="24"/>
          <w:szCs w:val="24"/>
        </w:rP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rsidRPr="00A811D4">
        <w:rPr>
          <w:rFonts w:ascii="Times New Roman" w:hAnsi="Times New Roman" w:cs="Times New Roman"/>
          <w:sz w:val="24"/>
          <w:szCs w:val="24"/>
        </w:rPr>
        <w:t>энергопринимающими</w:t>
      </w:r>
      <w:proofErr w:type="spellEnd"/>
      <w:r w:rsidRPr="00A811D4">
        <w:rPr>
          <w:rFonts w:ascii="Times New Roman" w:hAnsi="Times New Roman" w:cs="Times New Roman"/>
          <w:sz w:val="24"/>
          <w:szCs w:val="24"/>
        </w:rPr>
        <w:t xml:space="preserve">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w:t>
      </w:r>
      <w:proofErr w:type="spellStart"/>
      <w:r w:rsidRPr="00A811D4">
        <w:rPr>
          <w:rFonts w:ascii="Times New Roman" w:hAnsi="Times New Roman" w:cs="Times New Roman"/>
          <w:sz w:val="24"/>
          <w:szCs w:val="24"/>
        </w:rPr>
        <w:t>энергопринимающие</w:t>
      </w:r>
      <w:proofErr w:type="spellEnd"/>
      <w:r w:rsidRPr="00A811D4">
        <w:rPr>
          <w:rFonts w:ascii="Times New Roman" w:hAnsi="Times New Roman" w:cs="Times New Roman"/>
          <w:sz w:val="24"/>
          <w:szCs w:val="24"/>
        </w:rPr>
        <w:t xml:space="preserve"> устройства смежных субъектов электроэнергетики, то объем потребления электрической энергии </w:t>
      </w:r>
      <w:proofErr w:type="spellStart"/>
      <w:r w:rsidRPr="00A811D4">
        <w:rPr>
          <w:rFonts w:ascii="Times New Roman" w:hAnsi="Times New Roman" w:cs="Times New Roman"/>
          <w:sz w:val="24"/>
          <w:szCs w:val="24"/>
        </w:rPr>
        <w:t>энергопринимающими</w:t>
      </w:r>
      <w:proofErr w:type="spellEnd"/>
      <w:r w:rsidRPr="00A811D4">
        <w:rPr>
          <w:rFonts w:ascii="Times New Roman" w:hAnsi="Times New Roman" w:cs="Times New Roman"/>
          <w:sz w:val="24"/>
          <w:szCs w:val="24"/>
        </w:rPr>
        <w:t xml:space="preserve">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w:t>
      </w:r>
      <w:proofErr w:type="spellStart"/>
      <w:r w:rsidRPr="00A811D4">
        <w:rPr>
          <w:rFonts w:ascii="Times New Roman" w:hAnsi="Times New Roman" w:cs="Times New Roman"/>
          <w:sz w:val="24"/>
          <w:szCs w:val="24"/>
        </w:rPr>
        <w:t>энергопринимающие</w:t>
      </w:r>
      <w:proofErr w:type="spellEnd"/>
      <w:r w:rsidRPr="00A811D4">
        <w:rPr>
          <w:rFonts w:ascii="Times New Roman" w:hAnsi="Times New Roman" w:cs="Times New Roman"/>
          <w:sz w:val="24"/>
          <w:szCs w:val="24"/>
        </w:rPr>
        <w:t xml:space="preserve"> устройства смежных субъектов электроэнергетики за соответствующий расчетный период.</w:t>
      </w:r>
    </w:p>
    <w:p w:rsidR="00A811D4" w:rsidRP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rsidRPr="00A811D4">
        <w:rPr>
          <w:rFonts w:ascii="Times New Roman" w:hAnsi="Times New Roman" w:cs="Times New Roman"/>
          <w:sz w:val="24"/>
          <w:szCs w:val="24"/>
        </w:rPr>
        <w:t>энергопринимающие</w:t>
      </w:r>
      <w:proofErr w:type="spellEnd"/>
      <w:r w:rsidRPr="00A811D4">
        <w:rPr>
          <w:rFonts w:ascii="Times New Roman" w:hAnsi="Times New Roman" w:cs="Times New Roman"/>
          <w:sz w:val="24"/>
          <w:szCs w:val="24"/>
        </w:rPr>
        <w:t xml:space="preserve"> устройства смежных субъектов за соответствующий расчетный период, такой объем для целей определения объема потребления электрической энергии </w:t>
      </w:r>
      <w:proofErr w:type="spellStart"/>
      <w:r w:rsidRPr="00A811D4">
        <w:rPr>
          <w:rFonts w:ascii="Times New Roman" w:hAnsi="Times New Roman" w:cs="Times New Roman"/>
          <w:sz w:val="24"/>
          <w:szCs w:val="24"/>
        </w:rPr>
        <w:t>энергопринимающими</w:t>
      </w:r>
      <w:proofErr w:type="spellEnd"/>
      <w:r w:rsidRPr="00A811D4">
        <w:rPr>
          <w:rFonts w:ascii="Times New Roman" w:hAnsi="Times New Roman" w:cs="Times New Roman"/>
          <w:sz w:val="24"/>
          <w:szCs w:val="24"/>
        </w:rPr>
        <w:t xml:space="preserve">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w:t>
      </w:r>
      <w:proofErr w:type="spellStart"/>
      <w:r w:rsidRPr="00A811D4">
        <w:rPr>
          <w:rFonts w:ascii="Times New Roman" w:hAnsi="Times New Roman" w:cs="Times New Roman"/>
          <w:sz w:val="24"/>
          <w:szCs w:val="24"/>
        </w:rPr>
        <w:t>энергопринимающие</w:t>
      </w:r>
      <w:proofErr w:type="spellEnd"/>
      <w:r w:rsidRPr="00A811D4">
        <w:rPr>
          <w:rFonts w:ascii="Times New Roman" w:hAnsi="Times New Roman" w:cs="Times New Roman"/>
          <w:sz w:val="24"/>
          <w:szCs w:val="24"/>
        </w:rPr>
        <w:t xml:space="preserve"> устройства смежных субъектов за соответствующий расчетный период, для целей определения объема потребления электрической энергии </w:t>
      </w:r>
      <w:proofErr w:type="spellStart"/>
      <w:r w:rsidRPr="00A811D4">
        <w:rPr>
          <w:rFonts w:ascii="Times New Roman" w:hAnsi="Times New Roman" w:cs="Times New Roman"/>
          <w:sz w:val="24"/>
          <w:szCs w:val="24"/>
        </w:rPr>
        <w:t>энергопринимающими</w:t>
      </w:r>
      <w:proofErr w:type="spellEnd"/>
      <w:r w:rsidRPr="00A811D4">
        <w:rPr>
          <w:rFonts w:ascii="Times New Roman" w:hAnsi="Times New Roman" w:cs="Times New Roman"/>
          <w:sz w:val="24"/>
          <w:szCs w:val="24"/>
        </w:rPr>
        <w:t xml:space="preserve">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A811D4" w:rsidRDefault="00A811D4" w:rsidP="00A811D4">
      <w:pPr>
        <w:pStyle w:val="a6"/>
        <w:ind w:firstLine="567"/>
        <w:jc w:val="both"/>
        <w:rPr>
          <w:rFonts w:ascii="Times New Roman" w:hAnsi="Times New Roman" w:cs="Times New Roman"/>
          <w:sz w:val="24"/>
          <w:szCs w:val="24"/>
        </w:rPr>
      </w:pPr>
      <w:r w:rsidRPr="00A811D4">
        <w:rPr>
          <w:rFonts w:ascii="Times New Roman" w:hAnsi="Times New Roman" w:cs="Times New Roman"/>
          <w:sz w:val="24"/>
          <w:szCs w:val="24"/>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A55B59" w:rsidRPr="00E55490" w:rsidRDefault="00A811D4" w:rsidP="00A811D4">
      <w:pPr>
        <w:pStyle w:val="a6"/>
        <w:ind w:firstLine="567"/>
        <w:jc w:val="both"/>
      </w:pPr>
      <w:r w:rsidRPr="00A811D4">
        <w:rPr>
          <w:rFonts w:ascii="Times New Roman" w:hAnsi="Times New Roman" w:cs="Times New Roman"/>
          <w:sz w:val="24"/>
          <w:szCs w:val="24"/>
        </w:rPr>
        <w:t xml:space="preserve">При технологическом присоединении </w:t>
      </w:r>
      <w:proofErr w:type="spellStart"/>
      <w:r w:rsidRPr="00A811D4">
        <w:rPr>
          <w:rFonts w:ascii="Times New Roman" w:hAnsi="Times New Roman" w:cs="Times New Roman"/>
          <w:sz w:val="24"/>
          <w:szCs w:val="24"/>
        </w:rPr>
        <w:t>энергопринимающих</w:t>
      </w:r>
      <w:proofErr w:type="spellEnd"/>
      <w:r w:rsidRPr="00A811D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A811D4">
        <w:rPr>
          <w:rFonts w:ascii="Times New Roman" w:hAnsi="Times New Roman" w:cs="Times New Roman"/>
          <w:sz w:val="24"/>
          <w:szCs w:val="24"/>
        </w:rPr>
        <w:t>электросетевого</w:t>
      </w:r>
      <w:proofErr w:type="spellEnd"/>
      <w:r w:rsidRPr="00A811D4">
        <w:rPr>
          <w:rFonts w:ascii="Times New Roman" w:hAnsi="Times New Roman" w:cs="Times New Roman"/>
          <w:sz w:val="24"/>
          <w:szCs w:val="24"/>
        </w:rPr>
        <w:t xml:space="preserve">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w:t>
      </w:r>
      <w:proofErr w:type="spellStart"/>
      <w:r w:rsidRPr="00A811D4">
        <w:rPr>
          <w:rFonts w:ascii="Times New Roman" w:hAnsi="Times New Roman" w:cs="Times New Roman"/>
          <w:sz w:val="24"/>
          <w:szCs w:val="24"/>
        </w:rPr>
        <w:t>энергопринимающих</w:t>
      </w:r>
      <w:proofErr w:type="spellEnd"/>
      <w:r w:rsidRPr="00A811D4">
        <w:rPr>
          <w:rFonts w:ascii="Times New Roman" w:hAnsi="Times New Roman" w:cs="Times New Roman"/>
          <w:sz w:val="24"/>
          <w:szCs w:val="24"/>
        </w:rPr>
        <w:t xml:space="preserve"> устройств) смежных субъектов. При этом прибор учета может быть установлен в границах объектов электроэнергетики (</w:t>
      </w:r>
      <w:proofErr w:type="spellStart"/>
      <w:r w:rsidRPr="00A811D4">
        <w:rPr>
          <w:rFonts w:ascii="Times New Roman" w:hAnsi="Times New Roman" w:cs="Times New Roman"/>
          <w:sz w:val="24"/>
          <w:szCs w:val="24"/>
        </w:rPr>
        <w:t>энергопринимающих</w:t>
      </w:r>
      <w:proofErr w:type="spellEnd"/>
      <w:r w:rsidRPr="00A811D4">
        <w:rPr>
          <w:rFonts w:ascii="Times New Roman" w:hAnsi="Times New Roman" w:cs="Times New Roman"/>
          <w:sz w:val="24"/>
          <w:szCs w:val="24"/>
        </w:rPr>
        <w:t xml:space="preserve"> устройств) смежного субъекта по соглашению сторон либо в иных случаях, предусмотренных </w:t>
      </w:r>
      <w:hyperlink r:id="rId7" w:history="1">
        <w:r w:rsidRPr="00A811D4">
          <w:rPr>
            <w:rFonts w:ascii="Times New Roman" w:hAnsi="Times New Roman" w:cs="Times New Roman"/>
            <w:color w:val="000000" w:themeColor="text1"/>
            <w:sz w:val="24"/>
            <w:szCs w:val="24"/>
          </w:rPr>
          <w:t>Правилами</w:t>
        </w:r>
      </w:hyperlink>
      <w:r w:rsidRPr="00A811D4">
        <w:rPr>
          <w:rFonts w:ascii="Times New Roman" w:hAnsi="Times New Roman" w:cs="Times New Roman"/>
          <w:sz w:val="24"/>
          <w:szCs w:val="24"/>
        </w:rPr>
        <w:t xml:space="preserve"> технологического присоединения.</w:t>
      </w:r>
    </w:p>
    <w:sectPr w:rsidR="00A55B59" w:rsidRPr="00E55490" w:rsidSect="00E554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E55490"/>
    <w:rsid w:val="00A55B59"/>
    <w:rsid w:val="00A811D4"/>
    <w:rsid w:val="00E55490"/>
    <w:rsid w:val="00F66808"/>
    <w:rsid w:val="00F94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59"/>
  </w:style>
  <w:style w:type="paragraph" w:styleId="2">
    <w:name w:val="heading 2"/>
    <w:basedOn w:val="a"/>
    <w:link w:val="20"/>
    <w:uiPriority w:val="9"/>
    <w:qFormat/>
    <w:rsid w:val="00E55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5490"/>
    <w:rPr>
      <w:rFonts w:ascii="Times New Roman" w:eastAsia="Times New Roman" w:hAnsi="Times New Roman" w:cs="Times New Roman"/>
      <w:b/>
      <w:bCs/>
      <w:sz w:val="36"/>
      <w:szCs w:val="36"/>
    </w:rPr>
  </w:style>
  <w:style w:type="paragraph" w:styleId="a3">
    <w:name w:val="Normal (Web)"/>
    <w:basedOn w:val="a"/>
    <w:uiPriority w:val="99"/>
    <w:semiHidden/>
    <w:unhideWhenUsed/>
    <w:rsid w:val="00E554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5490"/>
    <w:rPr>
      <w:b/>
      <w:bCs/>
    </w:rPr>
  </w:style>
  <w:style w:type="character" w:customStyle="1" w:styleId="apple-converted-space">
    <w:name w:val="apple-converted-space"/>
    <w:basedOn w:val="a0"/>
    <w:rsid w:val="00E55490"/>
  </w:style>
  <w:style w:type="character" w:styleId="a5">
    <w:name w:val="Hyperlink"/>
    <w:basedOn w:val="a0"/>
    <w:uiPriority w:val="99"/>
    <w:semiHidden/>
    <w:unhideWhenUsed/>
    <w:rsid w:val="00E55490"/>
    <w:rPr>
      <w:color w:val="0000FF"/>
      <w:u w:val="single"/>
    </w:rPr>
  </w:style>
  <w:style w:type="paragraph" w:customStyle="1" w:styleId="ConsPlusNormal">
    <w:name w:val="ConsPlusNormal"/>
    <w:rsid w:val="00F94105"/>
    <w:pPr>
      <w:widowControl w:val="0"/>
      <w:autoSpaceDE w:val="0"/>
      <w:autoSpaceDN w:val="0"/>
      <w:adjustRightInd w:val="0"/>
      <w:spacing w:after="0" w:line="240" w:lineRule="auto"/>
    </w:pPr>
    <w:rPr>
      <w:rFonts w:ascii="Times New Roman" w:hAnsi="Times New Roman" w:cs="Times New Roman"/>
      <w:sz w:val="24"/>
      <w:szCs w:val="24"/>
    </w:rPr>
  </w:style>
  <w:style w:type="paragraph" w:styleId="a6">
    <w:name w:val="No Spacing"/>
    <w:uiPriority w:val="1"/>
    <w:qFormat/>
    <w:rsid w:val="00A811D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4244075">
      <w:bodyDiv w:val="1"/>
      <w:marLeft w:val="0"/>
      <w:marRight w:val="0"/>
      <w:marTop w:val="0"/>
      <w:marBottom w:val="0"/>
      <w:divBdr>
        <w:top w:val="none" w:sz="0" w:space="0" w:color="auto"/>
        <w:left w:val="none" w:sz="0" w:space="0" w:color="auto"/>
        <w:bottom w:val="none" w:sz="0" w:space="0" w:color="auto"/>
        <w:right w:val="none" w:sz="0" w:space="0" w:color="auto"/>
      </w:divBdr>
      <w:divsChild>
        <w:div w:id="635258497">
          <w:marLeft w:val="0"/>
          <w:marRight w:val="0"/>
          <w:marTop w:val="150"/>
          <w:marBottom w:val="0"/>
          <w:divBdr>
            <w:top w:val="none" w:sz="0" w:space="0" w:color="auto"/>
            <w:left w:val="none" w:sz="0" w:space="0" w:color="auto"/>
            <w:bottom w:val="none" w:sz="0" w:space="0" w:color="auto"/>
            <w:right w:val="none" w:sz="0" w:space="0" w:color="auto"/>
          </w:divBdr>
          <w:divsChild>
            <w:div w:id="9646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82948&amp;date=18.05.2021&amp;dst=100776&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72110&amp;date=18.05.2021&amp;dst=100013&amp;fld=134" TargetMode="External"/><Relationship Id="rId5" Type="http://schemas.openxmlformats.org/officeDocument/2006/relationships/hyperlink" Target="https://login.consultant.ru/link/?req=doc&amp;base=LAW&amp;n=372110&amp;date=18.05.2021&amp;dst=100013&amp;fld=134" TargetMode="External"/><Relationship Id="rId4" Type="http://schemas.openxmlformats.org/officeDocument/2006/relationships/hyperlink" Target="https://login.consultant.ru/link/?req=doc&amp;base=LAW&amp;n=382785&amp;date=18.05.202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2021-05-25T08:35:00Z</dcterms:created>
  <dcterms:modified xsi:type="dcterms:W3CDTF">2021-05-25T08:35:00Z</dcterms:modified>
</cp:coreProperties>
</file>